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03" w:rsidRPr="002B5703" w:rsidRDefault="002B5703" w:rsidP="00E809E5">
      <w:pPr>
        <w:pStyle w:val="ConsPlusNormal"/>
        <w:jc w:val="center"/>
        <w:rPr>
          <w:b/>
          <w:color w:val="2B2B2B"/>
          <w:sz w:val="28"/>
          <w:szCs w:val="28"/>
        </w:rPr>
      </w:pPr>
      <w:bookmarkStart w:id="0" w:name="_GoBack"/>
      <w:bookmarkEnd w:id="0"/>
      <w:r w:rsidRPr="002B5703">
        <w:rPr>
          <w:b/>
          <w:color w:val="2B2B2B"/>
          <w:sz w:val="28"/>
          <w:szCs w:val="28"/>
        </w:rPr>
        <w:t xml:space="preserve">РУБРИКИ ЖУРНАЛА ЭЛЕКТРОННОГО НАУЧНОГО ЖУРНАЛА </w:t>
      </w:r>
    </w:p>
    <w:p w:rsidR="00DF5E19" w:rsidRPr="002B5703" w:rsidRDefault="002B5703" w:rsidP="00E809E5">
      <w:pPr>
        <w:pStyle w:val="ConsPlusNormal"/>
        <w:jc w:val="center"/>
        <w:rPr>
          <w:b/>
          <w:color w:val="2B2B2B"/>
          <w:sz w:val="28"/>
          <w:szCs w:val="28"/>
        </w:rPr>
      </w:pPr>
      <w:r w:rsidRPr="002B5703">
        <w:rPr>
          <w:b/>
          <w:color w:val="2B2B2B"/>
          <w:sz w:val="28"/>
          <w:szCs w:val="28"/>
        </w:rPr>
        <w:t>«ПРОЛОГ: ЖУРНАЛ О ПРАВЕ / PROLOGUE: LAW JOURNAL»</w:t>
      </w:r>
    </w:p>
    <w:p w:rsidR="00DF5E19" w:rsidRPr="002B5703" w:rsidRDefault="00DF5E19">
      <w:pPr>
        <w:pStyle w:val="ConsPlusNormal"/>
        <w:rPr>
          <w:b/>
          <w:sz w:val="28"/>
          <w:szCs w:val="28"/>
        </w:rPr>
      </w:pPr>
    </w:p>
    <w:p w:rsidR="00DF5E19" w:rsidRPr="0085611F" w:rsidRDefault="00DF5E19">
      <w:pPr>
        <w:pStyle w:val="ConsPlusNormal"/>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286"/>
        <w:gridCol w:w="12039"/>
      </w:tblGrid>
      <w:tr w:rsidR="00E809E5" w:rsidRPr="00E41F9D" w:rsidTr="000A3DA6">
        <w:tc>
          <w:tcPr>
            <w:tcW w:w="13325" w:type="dxa"/>
            <w:gridSpan w:val="2"/>
            <w:tcBorders>
              <w:top w:val="single" w:sz="4" w:space="0" w:color="auto"/>
              <w:left w:val="single" w:sz="4" w:space="0" w:color="auto"/>
              <w:bottom w:val="single" w:sz="4" w:space="0" w:color="auto"/>
              <w:right w:val="single" w:sz="4" w:space="0" w:color="auto"/>
            </w:tcBorders>
            <w:hideMark/>
          </w:tcPr>
          <w:p w:rsidR="00E809E5" w:rsidRPr="00E41F9D" w:rsidRDefault="00B04714" w:rsidP="00E809E5">
            <w:pPr>
              <w:pStyle w:val="ConsPlusNormal"/>
              <w:jc w:val="center"/>
              <w:rPr>
                <w:b/>
                <w:sz w:val="28"/>
                <w:szCs w:val="28"/>
              </w:rPr>
            </w:pPr>
            <w:r w:rsidRPr="00E41F9D">
              <w:rPr>
                <w:b/>
                <w:sz w:val="28"/>
                <w:szCs w:val="28"/>
              </w:rPr>
              <w:t>С</w:t>
            </w:r>
            <w:r w:rsidR="00E809E5" w:rsidRPr="00E41F9D">
              <w:rPr>
                <w:b/>
                <w:sz w:val="28"/>
                <w:szCs w:val="28"/>
              </w:rPr>
              <w:t xml:space="preserve"> 9 декабря 2020 г. электронный научный журнал «Пролог: журнал о праве / Prologue: Law Journal» включен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по научным специальностям 12.00.01, 12.00.02, 12.00.03, 12.00.08, 12.00.15. (по состоянию на 2</w:t>
            </w:r>
            <w:r w:rsidRPr="00E41F9D">
              <w:rPr>
                <w:b/>
                <w:sz w:val="28"/>
                <w:szCs w:val="28"/>
              </w:rPr>
              <w:t>5</w:t>
            </w:r>
            <w:r w:rsidR="00E809E5" w:rsidRPr="00E41F9D">
              <w:rPr>
                <w:b/>
                <w:sz w:val="28"/>
                <w:szCs w:val="28"/>
              </w:rPr>
              <w:t>.</w:t>
            </w:r>
            <w:r w:rsidRPr="00E41F9D">
              <w:rPr>
                <w:b/>
                <w:sz w:val="28"/>
                <w:szCs w:val="28"/>
              </w:rPr>
              <w:t>05</w:t>
            </w:r>
            <w:r w:rsidR="00E809E5" w:rsidRPr="00E41F9D">
              <w:rPr>
                <w:b/>
                <w:sz w:val="28"/>
                <w:szCs w:val="28"/>
              </w:rPr>
              <w:t>.202</w:t>
            </w:r>
            <w:r w:rsidRPr="00E41F9D">
              <w:rPr>
                <w:b/>
                <w:sz w:val="28"/>
                <w:szCs w:val="28"/>
              </w:rPr>
              <w:t>2</w:t>
            </w:r>
            <w:r w:rsidR="00E809E5" w:rsidRPr="00E41F9D">
              <w:rPr>
                <w:b/>
                <w:sz w:val="28"/>
                <w:szCs w:val="28"/>
              </w:rPr>
              <w:t xml:space="preserve"> г</w:t>
            </w:r>
            <w:r w:rsidRPr="00E41F9D">
              <w:rPr>
                <w:b/>
                <w:sz w:val="28"/>
                <w:szCs w:val="28"/>
              </w:rPr>
              <w:t>.</w:t>
            </w:r>
            <w:r w:rsidR="00E809E5" w:rsidRPr="00E41F9D">
              <w:rPr>
                <w:b/>
                <w:sz w:val="28"/>
                <w:szCs w:val="28"/>
              </w:rPr>
              <w:t xml:space="preserve">, № </w:t>
            </w:r>
            <w:r w:rsidRPr="00E41F9D">
              <w:rPr>
                <w:b/>
                <w:sz w:val="28"/>
                <w:szCs w:val="28"/>
              </w:rPr>
              <w:t>1949</w:t>
            </w:r>
            <w:r w:rsidR="00E809E5" w:rsidRPr="00E41F9D">
              <w:rPr>
                <w:b/>
                <w:sz w:val="28"/>
                <w:szCs w:val="28"/>
              </w:rPr>
              <w:t>).</w:t>
            </w:r>
          </w:p>
          <w:p w:rsidR="00E809E5" w:rsidRPr="00E41F9D" w:rsidRDefault="00E809E5" w:rsidP="002B5703">
            <w:pPr>
              <w:pStyle w:val="ConsPlusNormal"/>
              <w:jc w:val="center"/>
              <w:rPr>
                <w:i/>
                <w:sz w:val="28"/>
                <w:szCs w:val="28"/>
              </w:rPr>
            </w:pPr>
            <w:r w:rsidRPr="00E41F9D">
              <w:rPr>
                <w:b/>
                <w:i/>
                <w:sz w:val="28"/>
                <w:szCs w:val="28"/>
              </w:rPr>
              <w:t xml:space="preserve">Данные </w:t>
            </w:r>
            <w:r w:rsidR="002B5703" w:rsidRPr="00E41F9D">
              <w:rPr>
                <w:b/>
                <w:i/>
                <w:sz w:val="28"/>
                <w:szCs w:val="28"/>
              </w:rPr>
              <w:t>рубрики</w:t>
            </w:r>
            <w:r w:rsidRPr="00E41F9D">
              <w:rPr>
                <w:b/>
                <w:i/>
                <w:sz w:val="28"/>
                <w:szCs w:val="28"/>
              </w:rPr>
              <w:t xml:space="preserve"> отмечены </w:t>
            </w:r>
            <w:r w:rsidR="0085611F" w:rsidRPr="00E41F9D">
              <w:rPr>
                <w:b/>
                <w:i/>
                <w:sz w:val="28"/>
                <w:szCs w:val="28"/>
              </w:rPr>
              <w:t>звездочкой (</w:t>
            </w:r>
            <w:r w:rsidRPr="00E41F9D">
              <w:rPr>
                <w:b/>
                <w:i/>
                <w:sz w:val="28"/>
                <w:szCs w:val="28"/>
              </w:rPr>
              <w:t>*</w:t>
            </w:r>
            <w:r w:rsidR="0085611F" w:rsidRPr="00E41F9D">
              <w:rPr>
                <w:b/>
                <w:i/>
                <w:sz w:val="28"/>
                <w:szCs w:val="28"/>
              </w:rPr>
              <w:t>)</w:t>
            </w:r>
          </w:p>
        </w:tc>
      </w:tr>
      <w:tr w:rsidR="002B5703" w:rsidRPr="00E41F9D" w:rsidTr="000A4ED3">
        <w:tc>
          <w:tcPr>
            <w:tcW w:w="1286"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12.00.01</w:t>
            </w:r>
          </w:p>
        </w:tc>
        <w:tc>
          <w:tcPr>
            <w:tcW w:w="12039"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Теория и история права и государства; история учений о праве и государстве *</w:t>
            </w:r>
          </w:p>
        </w:tc>
      </w:tr>
      <w:tr w:rsidR="002B5703" w:rsidRPr="00E41F9D" w:rsidTr="00C52619">
        <w:tc>
          <w:tcPr>
            <w:tcW w:w="1286"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12.00.02</w:t>
            </w:r>
          </w:p>
        </w:tc>
        <w:tc>
          <w:tcPr>
            <w:tcW w:w="12039"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 xml:space="preserve">Конституционное право; конституционный судебный процесс; муниципальное право </w:t>
            </w:r>
            <w:r w:rsidRPr="00E41F9D">
              <w:rPr>
                <w:b/>
                <w:sz w:val="28"/>
                <w:szCs w:val="28"/>
              </w:rPr>
              <w:t>*</w:t>
            </w:r>
          </w:p>
        </w:tc>
      </w:tr>
      <w:tr w:rsidR="002B5703" w:rsidRPr="00E41F9D" w:rsidTr="005F63AE">
        <w:tc>
          <w:tcPr>
            <w:tcW w:w="1286"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12.00.03</w:t>
            </w:r>
          </w:p>
        </w:tc>
        <w:tc>
          <w:tcPr>
            <w:tcW w:w="12039"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 xml:space="preserve">Гражданское право; предпринимательское право; семейное право; международное частное право </w:t>
            </w:r>
            <w:r w:rsidRPr="00E41F9D">
              <w:rPr>
                <w:b/>
                <w:sz w:val="28"/>
                <w:szCs w:val="28"/>
              </w:rPr>
              <w:t>*</w:t>
            </w:r>
          </w:p>
        </w:tc>
      </w:tr>
      <w:tr w:rsidR="002B5703" w:rsidRPr="00E41F9D" w:rsidTr="00582FAD">
        <w:tc>
          <w:tcPr>
            <w:tcW w:w="1286"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12.00.04</w:t>
            </w:r>
          </w:p>
        </w:tc>
        <w:tc>
          <w:tcPr>
            <w:tcW w:w="12039"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Финансовое право; налоговое право; бюджетное право</w:t>
            </w:r>
          </w:p>
        </w:tc>
      </w:tr>
      <w:tr w:rsidR="002B5703" w:rsidRPr="00E41F9D" w:rsidTr="00E1499D">
        <w:tc>
          <w:tcPr>
            <w:tcW w:w="1286"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12.00.05</w:t>
            </w:r>
          </w:p>
        </w:tc>
        <w:tc>
          <w:tcPr>
            <w:tcW w:w="12039"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Трудовое право; право социального обеспечения</w:t>
            </w:r>
          </w:p>
        </w:tc>
      </w:tr>
      <w:tr w:rsidR="002B5703" w:rsidRPr="00E41F9D" w:rsidTr="009C5A23">
        <w:tc>
          <w:tcPr>
            <w:tcW w:w="1286"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12.00.06</w:t>
            </w:r>
          </w:p>
        </w:tc>
        <w:tc>
          <w:tcPr>
            <w:tcW w:w="12039"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Земельное право; природоресурсное право; экологическое право; аграрное право</w:t>
            </w:r>
          </w:p>
        </w:tc>
      </w:tr>
      <w:tr w:rsidR="002B5703" w:rsidRPr="00E41F9D" w:rsidTr="00715C53">
        <w:tc>
          <w:tcPr>
            <w:tcW w:w="1286" w:type="dxa"/>
            <w:tcBorders>
              <w:top w:val="single" w:sz="4" w:space="0" w:color="auto"/>
              <w:left w:val="single" w:sz="4" w:space="0" w:color="auto"/>
              <w:bottom w:val="nil"/>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12.00.07</w:t>
            </w:r>
          </w:p>
        </w:tc>
        <w:tc>
          <w:tcPr>
            <w:tcW w:w="12039" w:type="dxa"/>
            <w:tcBorders>
              <w:top w:val="single" w:sz="4" w:space="0" w:color="auto"/>
              <w:left w:val="single" w:sz="4" w:space="0" w:color="auto"/>
              <w:bottom w:val="nil"/>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Корпоративное право; конкурентное право; энергетическое право</w:t>
            </w:r>
          </w:p>
        </w:tc>
      </w:tr>
      <w:tr w:rsidR="002B5703" w:rsidRPr="00E41F9D" w:rsidTr="005E53F9">
        <w:tc>
          <w:tcPr>
            <w:tcW w:w="1286"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12.00.08</w:t>
            </w:r>
          </w:p>
        </w:tc>
        <w:tc>
          <w:tcPr>
            <w:tcW w:w="12039"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 xml:space="preserve">Уголовное право и криминология; уголовно-исполнительное право </w:t>
            </w:r>
            <w:r w:rsidRPr="00E41F9D">
              <w:rPr>
                <w:b/>
                <w:sz w:val="28"/>
                <w:szCs w:val="28"/>
              </w:rPr>
              <w:t>*</w:t>
            </w:r>
          </w:p>
        </w:tc>
      </w:tr>
      <w:tr w:rsidR="002B5703" w:rsidRPr="00E41F9D" w:rsidTr="004166F1">
        <w:tc>
          <w:tcPr>
            <w:tcW w:w="1286"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12.00.09</w:t>
            </w:r>
          </w:p>
        </w:tc>
        <w:tc>
          <w:tcPr>
            <w:tcW w:w="12039"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Уголовный процесс</w:t>
            </w:r>
          </w:p>
        </w:tc>
      </w:tr>
      <w:tr w:rsidR="002B5703" w:rsidRPr="00E41F9D" w:rsidTr="007B6052">
        <w:tc>
          <w:tcPr>
            <w:tcW w:w="1286"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12.00.10</w:t>
            </w:r>
          </w:p>
        </w:tc>
        <w:tc>
          <w:tcPr>
            <w:tcW w:w="12039"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Международное право; Европейское право</w:t>
            </w:r>
          </w:p>
        </w:tc>
      </w:tr>
      <w:tr w:rsidR="002B5703" w:rsidRPr="00E41F9D" w:rsidTr="000F34B2">
        <w:tc>
          <w:tcPr>
            <w:tcW w:w="1286"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12.00.11</w:t>
            </w:r>
          </w:p>
        </w:tc>
        <w:tc>
          <w:tcPr>
            <w:tcW w:w="12039"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Судебная деятельность, прокурорская деятельность, правозащитная и правоохранительная деятельность</w:t>
            </w:r>
          </w:p>
        </w:tc>
      </w:tr>
      <w:tr w:rsidR="002B5703" w:rsidRPr="00E41F9D" w:rsidTr="002B4A87">
        <w:tc>
          <w:tcPr>
            <w:tcW w:w="1286"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lastRenderedPageBreak/>
              <w:t>12.00.12</w:t>
            </w:r>
          </w:p>
        </w:tc>
        <w:tc>
          <w:tcPr>
            <w:tcW w:w="12039"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Криминалистика; судебно-экспертная деятельность; оперативно-розыскная деятельность</w:t>
            </w:r>
          </w:p>
        </w:tc>
      </w:tr>
      <w:tr w:rsidR="002B5703" w:rsidRPr="00E41F9D" w:rsidTr="00C44E8F">
        <w:tc>
          <w:tcPr>
            <w:tcW w:w="1286"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12.00.13</w:t>
            </w:r>
          </w:p>
        </w:tc>
        <w:tc>
          <w:tcPr>
            <w:tcW w:w="12039"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Информационное право</w:t>
            </w:r>
          </w:p>
        </w:tc>
      </w:tr>
      <w:tr w:rsidR="002B5703" w:rsidRPr="00E41F9D" w:rsidTr="00814ADC">
        <w:tc>
          <w:tcPr>
            <w:tcW w:w="1286"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12.00.14</w:t>
            </w:r>
          </w:p>
        </w:tc>
        <w:tc>
          <w:tcPr>
            <w:tcW w:w="12039"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Административное право; административный процесс</w:t>
            </w:r>
          </w:p>
        </w:tc>
      </w:tr>
      <w:tr w:rsidR="002B5703" w:rsidRPr="00E41F9D" w:rsidTr="00F048EC">
        <w:tc>
          <w:tcPr>
            <w:tcW w:w="1286"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12.00.15</w:t>
            </w:r>
          </w:p>
        </w:tc>
        <w:tc>
          <w:tcPr>
            <w:tcW w:w="12039" w:type="dxa"/>
            <w:tcBorders>
              <w:top w:val="single" w:sz="4" w:space="0" w:color="auto"/>
              <w:left w:val="single" w:sz="4" w:space="0" w:color="auto"/>
              <w:bottom w:val="single" w:sz="4" w:space="0" w:color="auto"/>
              <w:right w:val="single" w:sz="4" w:space="0" w:color="auto"/>
            </w:tcBorders>
            <w:hideMark/>
          </w:tcPr>
          <w:p w:rsidR="002B5703" w:rsidRPr="00E41F9D" w:rsidRDefault="002B5703">
            <w:pPr>
              <w:pStyle w:val="ConsPlusNormal"/>
              <w:spacing w:line="256" w:lineRule="auto"/>
              <w:rPr>
                <w:sz w:val="28"/>
                <w:szCs w:val="28"/>
              </w:rPr>
            </w:pPr>
            <w:r w:rsidRPr="00E41F9D">
              <w:rPr>
                <w:sz w:val="28"/>
                <w:szCs w:val="28"/>
              </w:rPr>
              <w:t xml:space="preserve">Гражданский процесс; арбитражный процесс </w:t>
            </w:r>
            <w:r w:rsidRPr="00E41F9D">
              <w:rPr>
                <w:b/>
                <w:sz w:val="28"/>
                <w:szCs w:val="28"/>
              </w:rPr>
              <w:t>*</w:t>
            </w:r>
          </w:p>
        </w:tc>
      </w:tr>
      <w:tr w:rsidR="00E809E5" w:rsidRPr="00E41F9D" w:rsidTr="008C150A">
        <w:tc>
          <w:tcPr>
            <w:tcW w:w="13325" w:type="dxa"/>
            <w:gridSpan w:val="2"/>
            <w:tcBorders>
              <w:top w:val="single" w:sz="4" w:space="0" w:color="auto"/>
              <w:left w:val="single" w:sz="4" w:space="0" w:color="auto"/>
              <w:bottom w:val="single" w:sz="4" w:space="0" w:color="auto"/>
              <w:right w:val="single" w:sz="4" w:space="0" w:color="auto"/>
            </w:tcBorders>
          </w:tcPr>
          <w:p w:rsidR="00E809E5" w:rsidRPr="00E41F9D" w:rsidRDefault="00E809E5">
            <w:pPr>
              <w:pStyle w:val="ConsPlusNormal"/>
              <w:spacing w:line="256" w:lineRule="auto"/>
              <w:rPr>
                <w:b/>
                <w:sz w:val="28"/>
                <w:szCs w:val="28"/>
              </w:rPr>
            </w:pPr>
            <w:r w:rsidRPr="00E41F9D">
              <w:rPr>
                <w:b/>
                <w:sz w:val="28"/>
                <w:szCs w:val="28"/>
              </w:rPr>
              <w:t>Прочие рубрики</w:t>
            </w:r>
          </w:p>
        </w:tc>
      </w:tr>
      <w:tr w:rsidR="002B5703" w:rsidRPr="00E41F9D" w:rsidTr="00ED70BE">
        <w:tc>
          <w:tcPr>
            <w:tcW w:w="13325" w:type="dxa"/>
            <w:gridSpan w:val="2"/>
            <w:tcBorders>
              <w:top w:val="single" w:sz="4" w:space="0" w:color="auto"/>
              <w:left w:val="single" w:sz="4" w:space="0" w:color="auto"/>
              <w:bottom w:val="single" w:sz="4" w:space="0" w:color="auto"/>
              <w:right w:val="single" w:sz="4" w:space="0" w:color="auto"/>
            </w:tcBorders>
          </w:tcPr>
          <w:p w:rsidR="002B5703" w:rsidRPr="00E41F9D" w:rsidRDefault="002B5703">
            <w:pPr>
              <w:pStyle w:val="ConsPlusNormal"/>
              <w:spacing w:line="256" w:lineRule="auto"/>
              <w:rPr>
                <w:sz w:val="28"/>
                <w:szCs w:val="28"/>
              </w:rPr>
            </w:pPr>
            <w:hyperlink r:id="rId4" w:history="1">
              <w:r w:rsidRPr="00E41F9D">
                <w:rPr>
                  <w:sz w:val="28"/>
                  <w:szCs w:val="28"/>
                </w:rPr>
                <w:t>Национальная безопасность</w:t>
              </w:r>
            </w:hyperlink>
          </w:p>
        </w:tc>
      </w:tr>
      <w:tr w:rsidR="002B5703" w:rsidRPr="00E41F9D" w:rsidTr="00C53710">
        <w:tc>
          <w:tcPr>
            <w:tcW w:w="13325" w:type="dxa"/>
            <w:gridSpan w:val="2"/>
            <w:tcBorders>
              <w:top w:val="single" w:sz="4" w:space="0" w:color="auto"/>
              <w:left w:val="single" w:sz="4" w:space="0" w:color="auto"/>
              <w:bottom w:val="single" w:sz="4" w:space="0" w:color="auto"/>
              <w:right w:val="single" w:sz="4" w:space="0" w:color="auto"/>
            </w:tcBorders>
          </w:tcPr>
          <w:p w:rsidR="002B5703" w:rsidRPr="00E41F9D" w:rsidRDefault="002B5703" w:rsidP="00CA6876">
            <w:pPr>
              <w:pStyle w:val="ConsPlusNormal"/>
              <w:spacing w:line="256" w:lineRule="auto"/>
              <w:rPr>
                <w:sz w:val="28"/>
                <w:szCs w:val="28"/>
              </w:rPr>
            </w:pPr>
            <w:hyperlink r:id="rId5" w:history="1">
              <w:r w:rsidR="00CA6876" w:rsidRPr="00E41F9D">
                <w:rPr>
                  <w:sz w:val="28"/>
                  <w:szCs w:val="28"/>
                </w:rPr>
                <w:t>Научная</w:t>
              </w:r>
            </w:hyperlink>
            <w:r w:rsidR="00CA6876" w:rsidRPr="00E41F9D">
              <w:rPr>
                <w:sz w:val="28"/>
                <w:szCs w:val="28"/>
              </w:rPr>
              <w:t xml:space="preserve"> жизнь (рецензии, обзоры научных мероприятий)</w:t>
            </w:r>
          </w:p>
        </w:tc>
      </w:tr>
      <w:tr w:rsidR="002B5703" w:rsidRPr="00E41F9D" w:rsidTr="00433F87">
        <w:tc>
          <w:tcPr>
            <w:tcW w:w="13325" w:type="dxa"/>
            <w:gridSpan w:val="2"/>
            <w:tcBorders>
              <w:top w:val="single" w:sz="4" w:space="0" w:color="auto"/>
              <w:left w:val="single" w:sz="4" w:space="0" w:color="auto"/>
              <w:bottom w:val="single" w:sz="4" w:space="0" w:color="auto"/>
              <w:right w:val="single" w:sz="4" w:space="0" w:color="auto"/>
            </w:tcBorders>
          </w:tcPr>
          <w:p w:rsidR="002B5703" w:rsidRPr="00E41F9D" w:rsidRDefault="002B5703">
            <w:pPr>
              <w:pStyle w:val="ConsPlusNormal"/>
              <w:spacing w:line="256" w:lineRule="auto"/>
              <w:rPr>
                <w:sz w:val="28"/>
                <w:szCs w:val="28"/>
              </w:rPr>
            </w:pPr>
            <w:hyperlink r:id="rId6" w:history="1">
              <w:r w:rsidRPr="00E41F9D">
                <w:rPr>
                  <w:sz w:val="28"/>
                  <w:szCs w:val="28"/>
                </w:rPr>
                <w:t>Исследования молодых ученых</w:t>
              </w:r>
            </w:hyperlink>
          </w:p>
        </w:tc>
      </w:tr>
      <w:tr w:rsidR="002B5703" w:rsidRPr="00E41F9D" w:rsidTr="00DA3A69">
        <w:tc>
          <w:tcPr>
            <w:tcW w:w="13325" w:type="dxa"/>
            <w:gridSpan w:val="2"/>
            <w:tcBorders>
              <w:top w:val="single" w:sz="4" w:space="0" w:color="auto"/>
              <w:left w:val="single" w:sz="4" w:space="0" w:color="auto"/>
              <w:bottom w:val="single" w:sz="4" w:space="0" w:color="auto"/>
              <w:right w:val="single" w:sz="4" w:space="0" w:color="auto"/>
            </w:tcBorders>
          </w:tcPr>
          <w:p w:rsidR="002B5703" w:rsidRPr="00E41F9D" w:rsidRDefault="002B5703">
            <w:pPr>
              <w:pStyle w:val="ConsPlusNormal"/>
              <w:spacing w:line="256" w:lineRule="auto"/>
              <w:rPr>
                <w:sz w:val="28"/>
                <w:szCs w:val="28"/>
              </w:rPr>
            </w:pPr>
            <w:hyperlink r:id="rId7" w:history="1">
              <w:r w:rsidRPr="00E41F9D">
                <w:rPr>
                  <w:sz w:val="28"/>
                  <w:szCs w:val="28"/>
                </w:rPr>
                <w:t>Точка зрения</w:t>
              </w:r>
            </w:hyperlink>
          </w:p>
        </w:tc>
      </w:tr>
      <w:tr w:rsidR="002B5703" w:rsidRPr="00E41F9D" w:rsidTr="00807915">
        <w:tc>
          <w:tcPr>
            <w:tcW w:w="13325" w:type="dxa"/>
            <w:gridSpan w:val="2"/>
            <w:tcBorders>
              <w:top w:val="single" w:sz="4" w:space="0" w:color="auto"/>
              <w:left w:val="single" w:sz="4" w:space="0" w:color="auto"/>
              <w:bottom w:val="single" w:sz="4" w:space="0" w:color="auto"/>
              <w:right w:val="single" w:sz="4" w:space="0" w:color="auto"/>
            </w:tcBorders>
          </w:tcPr>
          <w:p w:rsidR="002B5703" w:rsidRPr="00E41F9D" w:rsidRDefault="002B5703">
            <w:pPr>
              <w:pStyle w:val="ConsPlusNormal"/>
              <w:spacing w:line="256" w:lineRule="auto"/>
              <w:rPr>
                <w:sz w:val="28"/>
                <w:szCs w:val="28"/>
              </w:rPr>
            </w:pPr>
            <w:hyperlink r:id="rId8" w:history="1">
              <w:r w:rsidRPr="00E41F9D">
                <w:rPr>
                  <w:sz w:val="28"/>
                  <w:szCs w:val="28"/>
                </w:rPr>
                <w:t>Полезное</w:t>
              </w:r>
            </w:hyperlink>
          </w:p>
        </w:tc>
      </w:tr>
    </w:tbl>
    <w:p w:rsidR="00E809E5" w:rsidRPr="0085611F" w:rsidRDefault="00E809E5">
      <w:pPr>
        <w:pStyle w:val="ConsPlusNormal"/>
        <w:rPr>
          <w:sz w:val="28"/>
          <w:szCs w:val="28"/>
        </w:rPr>
      </w:pPr>
    </w:p>
    <w:p w:rsidR="00E809E5" w:rsidRDefault="0085611F">
      <w:pPr>
        <w:pStyle w:val="ConsPlusNormal"/>
        <w:rPr>
          <w:color w:val="000000"/>
          <w:sz w:val="28"/>
          <w:szCs w:val="28"/>
          <w:shd w:val="clear" w:color="auto" w:fill="FFFFFF"/>
        </w:rPr>
      </w:pPr>
      <w:r w:rsidRPr="0085611F">
        <w:rPr>
          <w:color w:val="000000"/>
          <w:sz w:val="28"/>
          <w:szCs w:val="28"/>
          <w:shd w:val="clear" w:color="auto" w:fill="FFFFFF"/>
        </w:rPr>
        <w:t xml:space="preserve">Обозначенные </w:t>
      </w:r>
      <w:r w:rsidR="00E809E5" w:rsidRPr="0085611F">
        <w:rPr>
          <w:color w:val="000000"/>
          <w:sz w:val="28"/>
          <w:szCs w:val="28"/>
          <w:shd w:val="clear" w:color="auto" w:fill="FFFFFF"/>
        </w:rPr>
        <w:t>рубрики журнала не ограничивают авторов в выборе темы публикации</w:t>
      </w:r>
      <w:r w:rsidRPr="0085611F">
        <w:rPr>
          <w:color w:val="000000"/>
          <w:sz w:val="28"/>
          <w:szCs w:val="28"/>
          <w:shd w:val="clear" w:color="auto" w:fill="FFFFFF"/>
        </w:rPr>
        <w:t>. При</w:t>
      </w:r>
      <w:r w:rsidR="00E809E5" w:rsidRPr="0085611F">
        <w:rPr>
          <w:color w:val="000000"/>
          <w:sz w:val="28"/>
          <w:szCs w:val="28"/>
          <w:shd w:val="clear" w:color="auto" w:fill="FFFFFF"/>
        </w:rPr>
        <w:t xml:space="preserve"> наличии актуального материала</w:t>
      </w:r>
      <w:r w:rsidRPr="0085611F">
        <w:rPr>
          <w:color w:val="000000"/>
          <w:sz w:val="28"/>
          <w:szCs w:val="28"/>
          <w:shd w:val="clear" w:color="auto" w:fill="FFFFFF"/>
        </w:rPr>
        <w:t>, представляющего научный интерес,</w:t>
      </w:r>
      <w:r w:rsidR="002B5703">
        <w:rPr>
          <w:color w:val="000000"/>
          <w:sz w:val="28"/>
          <w:szCs w:val="28"/>
          <w:shd w:val="clear" w:color="auto" w:fill="FFFFFF"/>
        </w:rPr>
        <w:t xml:space="preserve"> в том числе, в сфере междисциплинарных исследований,</w:t>
      </w:r>
      <w:r w:rsidR="00E809E5" w:rsidRPr="0085611F">
        <w:rPr>
          <w:color w:val="000000"/>
          <w:sz w:val="28"/>
          <w:szCs w:val="28"/>
          <w:shd w:val="clear" w:color="auto" w:fill="FFFFFF"/>
        </w:rPr>
        <w:t xml:space="preserve"> рубрикация может быть </w:t>
      </w:r>
      <w:r w:rsidRPr="0085611F">
        <w:rPr>
          <w:color w:val="000000"/>
          <w:sz w:val="28"/>
          <w:szCs w:val="28"/>
          <w:shd w:val="clear" w:color="auto" w:fill="FFFFFF"/>
        </w:rPr>
        <w:t>дополнена</w:t>
      </w:r>
      <w:r w:rsidR="00E809E5" w:rsidRPr="0085611F">
        <w:rPr>
          <w:color w:val="000000"/>
          <w:sz w:val="28"/>
          <w:szCs w:val="28"/>
          <w:shd w:val="clear" w:color="auto" w:fill="FFFFFF"/>
        </w:rPr>
        <w:t>.</w:t>
      </w:r>
    </w:p>
    <w:p w:rsidR="00235532" w:rsidRDefault="00235532">
      <w:pPr>
        <w:pStyle w:val="ConsPlusNormal"/>
        <w:rPr>
          <w:color w:val="000000"/>
          <w:sz w:val="28"/>
          <w:szCs w:val="28"/>
          <w:shd w:val="clear" w:color="auto" w:fill="FFFFFF"/>
        </w:rPr>
      </w:pPr>
      <w:r>
        <w:rPr>
          <w:color w:val="000000"/>
          <w:sz w:val="28"/>
          <w:szCs w:val="28"/>
          <w:shd w:val="clear" w:color="auto" w:fill="FFFFFF"/>
        </w:rPr>
        <w:br w:type="page"/>
      </w:r>
    </w:p>
    <w:p w:rsidR="00235532" w:rsidRDefault="00235532">
      <w:pPr>
        <w:pStyle w:val="ConsPlusNormal"/>
        <w:rPr>
          <w:noProof/>
        </w:rPr>
      </w:pPr>
      <w:r w:rsidRPr="00A136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51.25pt;height:126pt;visibility:visible">
            <v:imagedata r:id="rId9" o:title=""/>
          </v:shape>
        </w:pict>
      </w:r>
    </w:p>
    <w:p w:rsidR="00235532" w:rsidRPr="0085611F" w:rsidRDefault="00235532">
      <w:pPr>
        <w:pStyle w:val="ConsPlusNormal"/>
        <w:rPr>
          <w:sz w:val="28"/>
          <w:szCs w:val="28"/>
        </w:rPr>
      </w:pPr>
      <w:r w:rsidRPr="00A1363A">
        <w:rPr>
          <w:noProof/>
        </w:rPr>
        <w:pict>
          <v:shape id="_x0000_i1026" type="#_x0000_t75" style="width:555pt;height:243pt;visibility:visible">
            <v:imagedata r:id="rId10" o:title=""/>
          </v:shape>
        </w:pict>
      </w:r>
    </w:p>
    <w:sectPr w:rsidR="00235532" w:rsidRPr="0085611F" w:rsidSect="00DF5E19">
      <w:pgSz w:w="16838" w:h="11906" w:orient="landscape"/>
      <w:pgMar w:top="1133" w:right="1440" w:bottom="566" w:left="144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E19"/>
    <w:rsid w:val="000A3DA6"/>
    <w:rsid w:val="000A4ED3"/>
    <w:rsid w:val="000F34B2"/>
    <w:rsid w:val="00235532"/>
    <w:rsid w:val="002B4A87"/>
    <w:rsid w:val="002B5703"/>
    <w:rsid w:val="004166F1"/>
    <w:rsid w:val="00433F87"/>
    <w:rsid w:val="00582FAD"/>
    <w:rsid w:val="005E53F9"/>
    <w:rsid w:val="005F63AE"/>
    <w:rsid w:val="006A1789"/>
    <w:rsid w:val="00715C53"/>
    <w:rsid w:val="007B6052"/>
    <w:rsid w:val="00807915"/>
    <w:rsid w:val="00814ADC"/>
    <w:rsid w:val="0085611F"/>
    <w:rsid w:val="008C150A"/>
    <w:rsid w:val="009C5A23"/>
    <w:rsid w:val="00A1363A"/>
    <w:rsid w:val="00B04714"/>
    <w:rsid w:val="00B210EE"/>
    <w:rsid w:val="00C44E8F"/>
    <w:rsid w:val="00C52619"/>
    <w:rsid w:val="00C53710"/>
    <w:rsid w:val="00CA6876"/>
    <w:rsid w:val="00DA3A69"/>
    <w:rsid w:val="00DF5E19"/>
    <w:rsid w:val="00E1499D"/>
    <w:rsid w:val="00E41F9D"/>
    <w:rsid w:val="00E809E5"/>
    <w:rsid w:val="00ED70BE"/>
    <w:rsid w:val="00F0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859AD5-19B1-4990-B038-9A300E6F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character" w:styleId="a3">
    <w:name w:val="Hyperlink"/>
    <w:uiPriority w:val="99"/>
    <w:semiHidden/>
    <w:unhideWhenUsed/>
    <w:rsid w:val="00DF5E1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36773">
      <w:marLeft w:val="0"/>
      <w:marRight w:val="0"/>
      <w:marTop w:val="0"/>
      <w:marBottom w:val="0"/>
      <w:divBdr>
        <w:top w:val="none" w:sz="0" w:space="0" w:color="auto"/>
        <w:left w:val="none" w:sz="0" w:space="0" w:color="auto"/>
        <w:bottom w:val="none" w:sz="0" w:space="0" w:color="auto"/>
        <w:right w:val="none" w:sz="0" w:space="0" w:color="auto"/>
      </w:divBdr>
    </w:div>
    <w:div w:id="494036774">
      <w:marLeft w:val="0"/>
      <w:marRight w:val="0"/>
      <w:marTop w:val="0"/>
      <w:marBottom w:val="0"/>
      <w:divBdr>
        <w:top w:val="none" w:sz="0" w:space="0" w:color="auto"/>
        <w:left w:val="none" w:sz="0" w:space="0" w:color="auto"/>
        <w:bottom w:val="none" w:sz="0" w:space="0" w:color="auto"/>
        <w:right w:val="none" w:sz="0" w:space="0" w:color="auto"/>
      </w:divBdr>
    </w:div>
    <w:div w:id="494036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law38.ru/category/poleznoe/" TargetMode="External"/><Relationship Id="rId3" Type="http://schemas.openxmlformats.org/officeDocument/2006/relationships/webSettings" Target="webSettings.xml"/><Relationship Id="rId7" Type="http://schemas.openxmlformats.org/officeDocument/2006/relationships/hyperlink" Target="http://www.prolaw38.ru/category/tochka-zrenij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law38.ru/category/issledovanija-molodyh-uchenyh/" TargetMode="External"/><Relationship Id="rId11" Type="http://schemas.openxmlformats.org/officeDocument/2006/relationships/fontTable" Target="fontTable.xml"/><Relationship Id="rId5" Type="http://schemas.openxmlformats.org/officeDocument/2006/relationships/hyperlink" Target="http://www.prolaw38.ru/category/obzory-nauchnyh-meroprijatij/" TargetMode="External"/><Relationship Id="rId10" Type="http://schemas.openxmlformats.org/officeDocument/2006/relationships/image" Target="media/image2.png"/><Relationship Id="rId4" Type="http://schemas.openxmlformats.org/officeDocument/2006/relationships/hyperlink" Target="http://www.prolaw38.ru/category/nacionalnaja-bezopasnost/" TargetMode="Externa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2007</Characters>
  <Application>Microsoft Office Word</Application>
  <DocSecurity>2</DocSecurity>
  <Lines>16</Lines>
  <Paragraphs>4</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23.10.2017 N 1027(ред. от 23.03.2018)"Об утверждении номенклатуры научных специальностей, по которым присуждаются ученые степени"(Зарегистрировано в Минюсте России 20.11.2017 N 48962)</vt:lpstr>
    </vt:vector>
  </TitlesOfParts>
  <Company>КонсультантПлюс Версия 4018.00.50</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23.10.2017 N 1027(ред. от 23.03.2018)"Об утверждении номенклатуры научных специальностей, по которым присуждаются ученые степени"(Зарегистрировано в Минюсте России 20.11.2017 N 48962)</dc:title>
  <dc:subject/>
  <dc:creator>Иванов Иван</dc:creator>
  <cp:keywords/>
  <dc:description/>
  <cp:lastModifiedBy>Учетная запись Майкрософт</cp:lastModifiedBy>
  <cp:revision>2</cp:revision>
  <dcterms:created xsi:type="dcterms:W3CDTF">2022-07-20T04:09:00Z</dcterms:created>
  <dcterms:modified xsi:type="dcterms:W3CDTF">2022-07-20T04:09:00Z</dcterms:modified>
</cp:coreProperties>
</file>